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B1" w:rsidRPr="007E5974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  <w:sz w:val="28"/>
          <w:szCs w:val="28"/>
        </w:rPr>
      </w:pPr>
      <w:bookmarkStart w:id="0" w:name="_TOC_250000"/>
      <w:bookmarkStart w:id="1" w:name="_GoBack"/>
      <w:bookmarkEnd w:id="1"/>
      <w:r w:rsidRPr="007E5974">
        <w:rPr>
          <w:rFonts w:asciiTheme="minorHAnsi" w:hAnsiTheme="minorHAnsi"/>
          <w:spacing w:val="-2"/>
          <w:sz w:val="28"/>
          <w:szCs w:val="28"/>
        </w:rPr>
        <w:t>Checklist of GCP Essential Documents</w:t>
      </w:r>
      <w:r w:rsidR="00F00632">
        <w:rPr>
          <w:rFonts w:asciiTheme="minorHAnsi" w:hAnsiTheme="minorHAnsi"/>
          <w:spacing w:val="-2"/>
          <w:sz w:val="28"/>
          <w:szCs w:val="28"/>
        </w:rPr>
        <w:t xml:space="preserve"> #3</w:t>
      </w:r>
      <w:r w:rsidR="00DB4D9D">
        <w:rPr>
          <w:rFonts w:asciiTheme="minorHAnsi" w:hAnsiTheme="minorHAnsi"/>
          <w:spacing w:val="-2"/>
          <w:sz w:val="28"/>
          <w:szCs w:val="28"/>
        </w:rPr>
        <w:t>: P</w:t>
      </w:r>
      <w:r w:rsidR="00F00632">
        <w:rPr>
          <w:rFonts w:asciiTheme="minorHAnsi" w:hAnsiTheme="minorHAnsi"/>
          <w:spacing w:val="-2"/>
          <w:sz w:val="28"/>
          <w:szCs w:val="28"/>
        </w:rPr>
        <w:t>ost</w:t>
      </w:r>
      <w:r w:rsidR="00DB4D9D">
        <w:rPr>
          <w:rFonts w:asciiTheme="minorHAnsi" w:hAnsiTheme="minorHAnsi"/>
          <w:spacing w:val="-2"/>
          <w:sz w:val="28"/>
          <w:szCs w:val="28"/>
        </w:rPr>
        <w:t>-</w:t>
      </w:r>
      <w:r w:rsidR="00146C3A">
        <w:rPr>
          <w:rFonts w:asciiTheme="minorHAnsi" w:hAnsiTheme="minorHAnsi"/>
          <w:spacing w:val="-2"/>
          <w:sz w:val="28"/>
          <w:szCs w:val="28"/>
        </w:rPr>
        <w:t>Study</w:t>
      </w:r>
    </w:p>
    <w:p w:rsidR="00B934B1" w:rsidRPr="007E5974" w:rsidRDefault="004D57EE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</w:rPr>
      </w:pPr>
      <w:r w:rsidRPr="007E5974">
        <w:rPr>
          <w:rFonts w:asciiTheme="minorHAnsi" w:hAnsiTheme="minorHAnsi"/>
          <w:spacing w:val="-2"/>
        </w:rPr>
        <w:t xml:space="preserve">IRB </w:t>
      </w:r>
      <w:r w:rsidR="00B934B1" w:rsidRPr="007E5974">
        <w:rPr>
          <w:rFonts w:asciiTheme="minorHAnsi" w:hAnsiTheme="minorHAnsi"/>
          <w:spacing w:val="-2"/>
        </w:rPr>
        <w:t xml:space="preserve">Protocol #: </w:t>
      </w:r>
    </w:p>
    <w:p w:rsidR="00B934B1" w:rsidRPr="007E5974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</w:rPr>
      </w:pPr>
      <w:r w:rsidRPr="007E5974">
        <w:rPr>
          <w:rFonts w:asciiTheme="minorHAnsi" w:hAnsiTheme="minorHAnsi"/>
          <w:spacing w:val="-2"/>
        </w:rPr>
        <w:t>Principal Investigator:</w:t>
      </w:r>
    </w:p>
    <w:p w:rsidR="00B934B1" w:rsidRPr="007E5974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</w:rPr>
      </w:pPr>
    </w:p>
    <w:p w:rsidR="00B934B1" w:rsidRPr="00486019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i/>
          <w:spacing w:val="-2"/>
        </w:rPr>
      </w:pPr>
      <w:r w:rsidRPr="00486019">
        <w:rPr>
          <w:rFonts w:asciiTheme="minorHAnsi" w:hAnsiTheme="minorHAnsi"/>
          <w:i/>
          <w:spacing w:val="-2"/>
        </w:rPr>
        <w:t>Instructions: Complete this checklist to identify the location and delegated authority for each Essential Document required by Good Clinical Practice (GCP).</w:t>
      </w:r>
      <w:r w:rsidR="00F00632">
        <w:rPr>
          <w:rFonts w:asciiTheme="minorHAnsi" w:hAnsiTheme="minorHAnsi"/>
          <w:i/>
          <w:spacing w:val="-2"/>
        </w:rPr>
        <w:t xml:space="preserve">  </w:t>
      </w:r>
      <w:r w:rsidR="00F00632" w:rsidRPr="00F00632">
        <w:rPr>
          <w:rFonts w:asciiTheme="minorHAnsi" w:hAnsiTheme="minorHAnsi"/>
          <w:i/>
          <w:spacing w:val="-2"/>
        </w:rPr>
        <w:t>For guidance, please consult the GCP Toolkit of Essential Documents &amp; Regulatory Binder Materials.</w:t>
      </w:r>
    </w:p>
    <w:p w:rsidR="00493A0D" w:rsidRPr="007E5974" w:rsidRDefault="00493A0D" w:rsidP="00153084">
      <w:pPr>
        <w:autoSpaceDE w:val="0"/>
        <w:autoSpaceDN w:val="0"/>
        <w:adjustRightInd w:val="0"/>
        <w:rPr>
          <w:rFonts w:eastAsia="Times New Roman" w:cs="Times New Roman"/>
          <w:sz w:val="19"/>
          <w:szCs w:val="19"/>
        </w:rPr>
      </w:pPr>
    </w:p>
    <w:p w:rsidR="00493A0D" w:rsidRPr="007E5974" w:rsidRDefault="00493A0D" w:rsidP="00F00632">
      <w:pPr>
        <w:pStyle w:val="Heading1"/>
        <w:numPr>
          <w:ilvl w:val="0"/>
          <w:numId w:val="3"/>
        </w:numPr>
        <w:tabs>
          <w:tab w:val="left" w:pos="1540"/>
        </w:tabs>
        <w:autoSpaceDE w:val="0"/>
        <w:autoSpaceDN w:val="0"/>
        <w:adjustRightInd w:val="0"/>
        <w:spacing w:before="46" w:line="246" w:lineRule="auto"/>
        <w:ind w:left="90" w:right="1074"/>
        <w:rPr>
          <w:rFonts w:asciiTheme="minorHAnsi" w:hAnsiTheme="minorHAnsi" w:cs="Times New Roman"/>
        </w:rPr>
      </w:pPr>
      <w:r w:rsidRPr="007E5974">
        <w:rPr>
          <w:rFonts w:asciiTheme="minorHAnsi" w:hAnsiTheme="minorHAnsi"/>
          <w:spacing w:val="-2"/>
        </w:rPr>
        <w:t>After Completion or Termination of the Trial</w:t>
      </w:r>
      <w:r w:rsidR="00253895" w:rsidRPr="007E5974">
        <w:rPr>
          <w:rFonts w:asciiTheme="minorHAnsi" w:hAnsiTheme="minorHAnsi"/>
          <w:spacing w:val="-2"/>
        </w:rPr>
        <w:t xml:space="preserve"> - </w:t>
      </w:r>
      <w:r w:rsidRPr="007E5974">
        <w:rPr>
          <w:rFonts w:asciiTheme="minorHAnsi" w:hAnsiTheme="minorHAnsi" w:cs="Times New Roman"/>
          <w:b w:val="0"/>
        </w:rPr>
        <w:t>After completion or termination of the trial, all of the documents identified in sections 1 and 2 (listed above) should be in the file together with the following documents.</w:t>
      </w:r>
    </w:p>
    <w:tbl>
      <w:tblPr>
        <w:tblW w:w="13790" w:type="dxa"/>
        <w:tblInd w:w="-3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600"/>
        <w:gridCol w:w="4050"/>
        <w:gridCol w:w="2610"/>
      </w:tblGrid>
      <w:tr w:rsidR="00244CD5" w:rsidRPr="007E5974" w:rsidTr="00244CD5">
        <w:trPr>
          <w:trHeight w:hRule="exact" w:val="1015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244CD5"/>
          <w:p w:rsidR="00244CD5" w:rsidRPr="007E5974" w:rsidRDefault="00244CD5" w:rsidP="00244CD5">
            <w:pPr>
              <w:rPr>
                <w:sz w:val="24"/>
                <w:szCs w:val="24"/>
              </w:rPr>
            </w:pPr>
            <w:r w:rsidRPr="007E5974">
              <w:rPr>
                <w:b/>
                <w:spacing w:val="-1"/>
                <w:sz w:val="24"/>
              </w:rPr>
              <w:t>Title</w:t>
            </w:r>
            <w:r w:rsidRPr="007E5974">
              <w:rPr>
                <w:b/>
                <w:spacing w:val="1"/>
                <w:sz w:val="24"/>
              </w:rPr>
              <w:t xml:space="preserve"> </w:t>
            </w:r>
            <w:r w:rsidRPr="007E5974">
              <w:rPr>
                <w:b/>
                <w:spacing w:val="-1"/>
                <w:sz w:val="24"/>
              </w:rPr>
              <w:t>of</w:t>
            </w:r>
            <w:r w:rsidRPr="007E5974">
              <w:rPr>
                <w:b/>
                <w:spacing w:val="1"/>
                <w:sz w:val="24"/>
              </w:rPr>
              <w:t xml:space="preserve"> Essential </w:t>
            </w:r>
            <w:r w:rsidRPr="007E5974">
              <w:rPr>
                <w:b/>
                <w:spacing w:val="-1"/>
                <w:sz w:val="24"/>
              </w:rPr>
              <w:t>Document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244CD5">
            <w:pPr>
              <w:rPr>
                <w:b/>
                <w:sz w:val="24"/>
                <w:szCs w:val="24"/>
              </w:rPr>
            </w:pPr>
            <w:r w:rsidRPr="007E5974">
              <w:rPr>
                <w:b/>
                <w:sz w:val="24"/>
                <w:szCs w:val="24"/>
              </w:rPr>
              <w:t>Format of Record (Ex. Electronic file, hard copy)</w:t>
            </w: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244CD5">
            <w:pPr>
              <w:rPr>
                <w:b/>
                <w:sz w:val="24"/>
                <w:szCs w:val="24"/>
              </w:rPr>
            </w:pPr>
            <w:r w:rsidRPr="007E5974">
              <w:rPr>
                <w:b/>
                <w:sz w:val="24"/>
                <w:szCs w:val="24"/>
              </w:rPr>
              <w:t>Record Location (Electronic shared drive and/or file location, physical binder, room #, etc.)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244CD5">
            <w:pPr>
              <w:rPr>
                <w:b/>
                <w:sz w:val="24"/>
                <w:szCs w:val="24"/>
              </w:rPr>
            </w:pPr>
            <w:r w:rsidRPr="007E5974">
              <w:rPr>
                <w:b/>
                <w:sz w:val="24"/>
                <w:szCs w:val="24"/>
              </w:rPr>
              <w:t>Personnel Responsible</w:t>
            </w:r>
          </w:p>
        </w:tc>
      </w:tr>
      <w:tr w:rsidR="00244CD5" w:rsidRPr="007E5974" w:rsidTr="008C5BA5">
        <w:trPr>
          <w:trHeight w:hRule="exact" w:val="63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Investigational product(s) accountability at site</w:t>
            </w:r>
          </w:p>
          <w:p w:rsidR="00244CD5" w:rsidRPr="007E5974" w:rsidRDefault="00244CD5" w:rsidP="006A2D39">
            <w:pPr>
              <w:pStyle w:val="TableParagraph"/>
              <w:spacing w:before="105"/>
              <w:ind w:left="94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62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Documentation of investigational product(s)  destruction</w:t>
            </w:r>
          </w:p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63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Completed subject identification code list</w:t>
            </w:r>
          </w:p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62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Audit certificate (if required)</w:t>
            </w:r>
          </w:p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62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Final trial close-out monitoring report</w:t>
            </w:r>
          </w:p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71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505CCB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Treatment allocation and decoding documentation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89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080EDE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 xml:space="preserve">Final report by investigator/institution to IRB where required, and where applicable, to the regulatory authority(ies) 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244CD5" w:rsidRPr="007E5974" w:rsidTr="008C5BA5">
        <w:trPr>
          <w:trHeight w:hRule="exact" w:val="72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 xml:space="preserve">Clinical study report </w:t>
            </w:r>
          </w:p>
          <w:p w:rsidR="00244CD5" w:rsidRPr="007E5974" w:rsidRDefault="00244CD5" w:rsidP="00493A0D">
            <w:pPr>
              <w:pStyle w:val="TableParagraph"/>
              <w:spacing w:before="105"/>
              <w:ind w:left="94"/>
              <w:rPr>
                <w:rFonts w:eastAsia="Times New Roman" w:cs="Times New Roman"/>
                <w:spacing w:val="-1"/>
                <w:sz w:val="19"/>
                <w:szCs w:val="19"/>
              </w:rPr>
            </w:pPr>
          </w:p>
        </w:tc>
        <w:tc>
          <w:tcPr>
            <w:tcW w:w="3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44CD5" w:rsidRPr="007E5974" w:rsidRDefault="00244CD5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bookmarkEnd w:id="0"/>
    </w:tbl>
    <w:p w:rsidR="00F80319" w:rsidRPr="007E5974" w:rsidRDefault="00F80319" w:rsidP="00505CCB"/>
    <w:sectPr w:rsidR="00F80319" w:rsidRPr="007E5974" w:rsidSect="00DB250E">
      <w:footerReference w:type="default" r:id="rId7"/>
      <w:pgSz w:w="15840" w:h="12240" w:orient="landscape"/>
      <w:pgMar w:top="864" w:right="1440" w:bottom="57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23" w:rsidRDefault="00322423" w:rsidP="00DB250E">
      <w:r>
        <w:separator/>
      </w:r>
    </w:p>
  </w:endnote>
  <w:endnote w:type="continuationSeparator" w:id="0">
    <w:p w:rsidR="00322423" w:rsidRDefault="00322423" w:rsidP="00D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4464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DB250E" w:rsidRPr="00DB250E" w:rsidRDefault="00DB250E">
        <w:pPr>
          <w:pStyle w:val="Footer"/>
          <w:jc w:val="center"/>
          <w:rPr>
            <w:sz w:val="18"/>
            <w:szCs w:val="18"/>
          </w:rPr>
        </w:pPr>
        <w:r w:rsidRPr="00DB250E">
          <w:rPr>
            <w:sz w:val="18"/>
            <w:szCs w:val="18"/>
          </w:rPr>
          <w:fldChar w:fldCharType="begin"/>
        </w:r>
        <w:r w:rsidRPr="00DB250E">
          <w:rPr>
            <w:sz w:val="18"/>
            <w:szCs w:val="18"/>
          </w:rPr>
          <w:instrText xml:space="preserve"> PAGE   \* MERGEFORMAT </w:instrText>
        </w:r>
        <w:r w:rsidRPr="00DB250E">
          <w:rPr>
            <w:sz w:val="18"/>
            <w:szCs w:val="18"/>
          </w:rPr>
          <w:fldChar w:fldCharType="separate"/>
        </w:r>
        <w:r w:rsidR="00A87330">
          <w:rPr>
            <w:noProof/>
            <w:sz w:val="18"/>
            <w:szCs w:val="18"/>
          </w:rPr>
          <w:t>1</w:t>
        </w:r>
        <w:r w:rsidRPr="00DB250E">
          <w:rPr>
            <w:noProof/>
            <w:sz w:val="18"/>
            <w:szCs w:val="18"/>
          </w:rPr>
          <w:fldChar w:fldCharType="end"/>
        </w:r>
      </w:p>
    </w:sdtContent>
  </w:sdt>
  <w:p w:rsidR="00DB250E" w:rsidRPr="00F00632" w:rsidRDefault="00F00632">
    <w:pPr>
      <w:pStyle w:val="Footer"/>
      <w:rPr>
        <w:sz w:val="16"/>
        <w:szCs w:val="16"/>
      </w:rPr>
    </w:pPr>
    <w:r w:rsidRPr="00F00632">
      <w:rPr>
        <w:sz w:val="16"/>
        <w:szCs w:val="16"/>
      </w:rPr>
      <w:t>Rev. 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23" w:rsidRDefault="00322423" w:rsidP="00DB250E">
      <w:r>
        <w:separator/>
      </w:r>
    </w:p>
  </w:footnote>
  <w:footnote w:type="continuationSeparator" w:id="0">
    <w:p w:rsidR="00322423" w:rsidRDefault="00322423" w:rsidP="00DB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06" w:hanging="112"/>
      </w:pPr>
      <w:rPr>
        <w:rFonts w:ascii="Times New Roman" w:hAnsi="Times New Roman" w:cs="Times New Roman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015" w:hanging="112"/>
      </w:pPr>
    </w:lvl>
    <w:lvl w:ilvl="2">
      <w:numFmt w:val="bullet"/>
      <w:lvlText w:val="•"/>
      <w:lvlJc w:val="left"/>
      <w:pPr>
        <w:ind w:left="1825" w:hanging="112"/>
      </w:pPr>
    </w:lvl>
    <w:lvl w:ilvl="3">
      <w:numFmt w:val="bullet"/>
      <w:lvlText w:val="•"/>
      <w:lvlJc w:val="left"/>
      <w:pPr>
        <w:ind w:left="2634" w:hanging="112"/>
      </w:pPr>
    </w:lvl>
    <w:lvl w:ilvl="4">
      <w:numFmt w:val="bullet"/>
      <w:lvlText w:val="•"/>
      <w:lvlJc w:val="left"/>
      <w:pPr>
        <w:ind w:left="3444" w:hanging="112"/>
      </w:pPr>
    </w:lvl>
    <w:lvl w:ilvl="5">
      <w:numFmt w:val="bullet"/>
      <w:lvlText w:val="•"/>
      <w:lvlJc w:val="left"/>
      <w:pPr>
        <w:ind w:left="4254" w:hanging="112"/>
      </w:pPr>
    </w:lvl>
    <w:lvl w:ilvl="6">
      <w:numFmt w:val="bullet"/>
      <w:lvlText w:val="•"/>
      <w:lvlJc w:val="left"/>
      <w:pPr>
        <w:ind w:left="5063" w:hanging="112"/>
      </w:pPr>
    </w:lvl>
    <w:lvl w:ilvl="7">
      <w:numFmt w:val="bullet"/>
      <w:lvlText w:val="•"/>
      <w:lvlJc w:val="left"/>
      <w:pPr>
        <w:ind w:left="5873" w:hanging="112"/>
      </w:pPr>
    </w:lvl>
    <w:lvl w:ilvl="8">
      <w:numFmt w:val="bullet"/>
      <w:lvlText w:val="•"/>
      <w:lvlJc w:val="left"/>
      <w:pPr>
        <w:ind w:left="6682" w:hanging="112"/>
      </w:pPr>
    </w:lvl>
  </w:abstractNum>
  <w:abstractNum w:abstractNumId="1" w15:restartNumberingAfterBreak="0">
    <w:nsid w:val="164E5EF7"/>
    <w:multiLevelType w:val="hybridMultilevel"/>
    <w:tmpl w:val="DFF421AE"/>
    <w:lvl w:ilvl="0" w:tplc="72AE218E">
      <w:start w:val="1"/>
      <w:numFmt w:val="bullet"/>
      <w:lvlText w:val="-"/>
      <w:lvlJc w:val="left"/>
      <w:pPr>
        <w:ind w:left="95" w:hanging="112"/>
      </w:pPr>
      <w:rPr>
        <w:rFonts w:ascii="Times New Roman" w:eastAsia="Times New Roman" w:hAnsi="Times New Roman" w:hint="default"/>
        <w:w w:val="103"/>
        <w:sz w:val="19"/>
        <w:szCs w:val="19"/>
      </w:rPr>
    </w:lvl>
    <w:lvl w:ilvl="1" w:tplc="B0CE51B0">
      <w:start w:val="1"/>
      <w:numFmt w:val="bullet"/>
      <w:lvlText w:val="•"/>
      <w:lvlJc w:val="left"/>
      <w:pPr>
        <w:ind w:left="428" w:hanging="112"/>
      </w:pPr>
      <w:rPr>
        <w:rFonts w:hint="default"/>
      </w:rPr>
    </w:lvl>
    <w:lvl w:ilvl="2" w:tplc="5C8AB3B0">
      <w:start w:val="1"/>
      <w:numFmt w:val="bullet"/>
      <w:lvlText w:val="•"/>
      <w:lvlJc w:val="left"/>
      <w:pPr>
        <w:ind w:left="762" w:hanging="112"/>
      </w:pPr>
      <w:rPr>
        <w:rFonts w:hint="default"/>
      </w:rPr>
    </w:lvl>
    <w:lvl w:ilvl="3" w:tplc="06625C68">
      <w:start w:val="1"/>
      <w:numFmt w:val="bullet"/>
      <w:lvlText w:val="•"/>
      <w:lvlJc w:val="left"/>
      <w:pPr>
        <w:ind w:left="1095" w:hanging="112"/>
      </w:pPr>
      <w:rPr>
        <w:rFonts w:hint="default"/>
      </w:rPr>
    </w:lvl>
    <w:lvl w:ilvl="4" w:tplc="571090FA">
      <w:start w:val="1"/>
      <w:numFmt w:val="bullet"/>
      <w:lvlText w:val="•"/>
      <w:lvlJc w:val="left"/>
      <w:pPr>
        <w:ind w:left="1429" w:hanging="112"/>
      </w:pPr>
      <w:rPr>
        <w:rFonts w:hint="default"/>
      </w:rPr>
    </w:lvl>
    <w:lvl w:ilvl="5" w:tplc="34E0EB28">
      <w:start w:val="1"/>
      <w:numFmt w:val="bullet"/>
      <w:lvlText w:val="•"/>
      <w:lvlJc w:val="left"/>
      <w:pPr>
        <w:ind w:left="1762" w:hanging="112"/>
      </w:pPr>
      <w:rPr>
        <w:rFonts w:hint="default"/>
      </w:rPr>
    </w:lvl>
    <w:lvl w:ilvl="6" w:tplc="DE90FD84">
      <w:start w:val="1"/>
      <w:numFmt w:val="bullet"/>
      <w:lvlText w:val="•"/>
      <w:lvlJc w:val="left"/>
      <w:pPr>
        <w:ind w:left="2096" w:hanging="112"/>
      </w:pPr>
      <w:rPr>
        <w:rFonts w:hint="default"/>
      </w:rPr>
    </w:lvl>
    <w:lvl w:ilvl="7" w:tplc="5D700138">
      <w:start w:val="1"/>
      <w:numFmt w:val="bullet"/>
      <w:lvlText w:val="•"/>
      <w:lvlJc w:val="left"/>
      <w:pPr>
        <w:ind w:left="2429" w:hanging="112"/>
      </w:pPr>
      <w:rPr>
        <w:rFonts w:hint="default"/>
      </w:rPr>
    </w:lvl>
    <w:lvl w:ilvl="8" w:tplc="35E85B4E">
      <w:start w:val="1"/>
      <w:numFmt w:val="bullet"/>
      <w:lvlText w:val="•"/>
      <w:lvlJc w:val="left"/>
      <w:pPr>
        <w:ind w:left="2763" w:hanging="112"/>
      </w:pPr>
      <w:rPr>
        <w:rFonts w:hint="default"/>
      </w:rPr>
    </w:lvl>
  </w:abstractNum>
  <w:abstractNum w:abstractNumId="2" w15:restartNumberingAfterBreak="0">
    <w:nsid w:val="18757AD6"/>
    <w:multiLevelType w:val="hybridMultilevel"/>
    <w:tmpl w:val="585E7794"/>
    <w:lvl w:ilvl="0" w:tplc="DC2C3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6C46"/>
    <w:multiLevelType w:val="hybridMultilevel"/>
    <w:tmpl w:val="6A1E5D76"/>
    <w:lvl w:ilvl="0" w:tplc="A66E4332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84104CE"/>
    <w:multiLevelType w:val="multilevel"/>
    <w:tmpl w:val="7D42E40C"/>
    <w:lvl w:ilvl="0">
      <w:start w:val="8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spacing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3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5" w15:restartNumberingAfterBreak="0">
    <w:nsid w:val="2F742A06"/>
    <w:multiLevelType w:val="hybridMultilevel"/>
    <w:tmpl w:val="BB3C7C24"/>
    <w:lvl w:ilvl="0" w:tplc="11485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CFC"/>
    <w:multiLevelType w:val="hybridMultilevel"/>
    <w:tmpl w:val="6A1E5D76"/>
    <w:lvl w:ilvl="0" w:tplc="A66E4332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41312E91"/>
    <w:multiLevelType w:val="hybridMultilevel"/>
    <w:tmpl w:val="BBECE186"/>
    <w:lvl w:ilvl="0" w:tplc="53544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04C67"/>
    <w:multiLevelType w:val="hybridMultilevel"/>
    <w:tmpl w:val="B7364258"/>
    <w:lvl w:ilvl="0" w:tplc="368633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9"/>
    <w:rsid w:val="00080EDE"/>
    <w:rsid w:val="00146C3A"/>
    <w:rsid w:val="00153084"/>
    <w:rsid w:val="00156A51"/>
    <w:rsid w:val="001B41DF"/>
    <w:rsid w:val="001E601E"/>
    <w:rsid w:val="00244CD5"/>
    <w:rsid w:val="00250AE5"/>
    <w:rsid w:val="00253895"/>
    <w:rsid w:val="00305B2F"/>
    <w:rsid w:val="00322423"/>
    <w:rsid w:val="00365258"/>
    <w:rsid w:val="0039797B"/>
    <w:rsid w:val="003C3684"/>
    <w:rsid w:val="003F2A83"/>
    <w:rsid w:val="003F5ABE"/>
    <w:rsid w:val="00486019"/>
    <w:rsid w:val="0049190E"/>
    <w:rsid w:val="00493A0D"/>
    <w:rsid w:val="00495907"/>
    <w:rsid w:val="004A5022"/>
    <w:rsid w:val="004D57EE"/>
    <w:rsid w:val="004F2E50"/>
    <w:rsid w:val="00505CCB"/>
    <w:rsid w:val="005524C4"/>
    <w:rsid w:val="005579F2"/>
    <w:rsid w:val="005F0D44"/>
    <w:rsid w:val="00622DC6"/>
    <w:rsid w:val="0065196B"/>
    <w:rsid w:val="006A2D39"/>
    <w:rsid w:val="006E7EDE"/>
    <w:rsid w:val="006F7C9C"/>
    <w:rsid w:val="00740CCC"/>
    <w:rsid w:val="007826D5"/>
    <w:rsid w:val="007D6CF1"/>
    <w:rsid w:val="007E5974"/>
    <w:rsid w:val="008245A9"/>
    <w:rsid w:val="00881977"/>
    <w:rsid w:val="00890BDA"/>
    <w:rsid w:val="008C5350"/>
    <w:rsid w:val="008C5BA5"/>
    <w:rsid w:val="00916245"/>
    <w:rsid w:val="00942360"/>
    <w:rsid w:val="00A45CDA"/>
    <w:rsid w:val="00A87330"/>
    <w:rsid w:val="00AC2C94"/>
    <w:rsid w:val="00B67173"/>
    <w:rsid w:val="00B934B1"/>
    <w:rsid w:val="00C21B77"/>
    <w:rsid w:val="00C223DF"/>
    <w:rsid w:val="00C32F86"/>
    <w:rsid w:val="00C978E7"/>
    <w:rsid w:val="00CA6004"/>
    <w:rsid w:val="00CE0210"/>
    <w:rsid w:val="00D0172E"/>
    <w:rsid w:val="00D8747F"/>
    <w:rsid w:val="00DA15E4"/>
    <w:rsid w:val="00DB250E"/>
    <w:rsid w:val="00DB4D9D"/>
    <w:rsid w:val="00E512C1"/>
    <w:rsid w:val="00EB7B22"/>
    <w:rsid w:val="00ED62DD"/>
    <w:rsid w:val="00F00632"/>
    <w:rsid w:val="00F2024A"/>
    <w:rsid w:val="00F23735"/>
    <w:rsid w:val="00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B7CE4-49D4-49F7-813C-C20FB3F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2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80319"/>
    <w:pPr>
      <w:widowControl w:val="0"/>
      <w:ind w:left="116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3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0319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0319"/>
    <w:pPr>
      <w:widowControl w:val="0"/>
      <w:ind w:left="1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31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0319"/>
    <w:pPr>
      <w:widowControl w:val="0"/>
    </w:pPr>
  </w:style>
  <w:style w:type="paragraph" w:customStyle="1" w:styleId="TableParagraph">
    <w:name w:val="Table Paragraph"/>
    <w:basedOn w:val="Normal"/>
    <w:uiPriority w:val="1"/>
    <w:qFormat/>
    <w:rsid w:val="00F80319"/>
    <w:pPr>
      <w:widowControl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DA15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0E"/>
  </w:style>
  <w:style w:type="paragraph" w:styleId="Footer">
    <w:name w:val="footer"/>
    <w:basedOn w:val="Normal"/>
    <w:link w:val="FooterChar"/>
    <w:uiPriority w:val="99"/>
    <w:unhideWhenUsed/>
    <w:rsid w:val="00DB2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Morningstar, Kirstin C</dc:creator>
  <cp:keywords/>
  <dc:description/>
  <cp:lastModifiedBy>Gamiz, Megan</cp:lastModifiedBy>
  <cp:revision>2</cp:revision>
  <cp:lastPrinted>2016-11-09T21:36:00Z</cp:lastPrinted>
  <dcterms:created xsi:type="dcterms:W3CDTF">2017-04-20T16:25:00Z</dcterms:created>
  <dcterms:modified xsi:type="dcterms:W3CDTF">2017-04-20T16:25:00Z</dcterms:modified>
</cp:coreProperties>
</file>